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bookmarkStart w:id="0" w:name="_Hlk54466636"/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兰州大学本科毕业论文（设计）“文字</w:t>
      </w:r>
    </w:p>
    <w:p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复制比”检测及处理实施细则</w:t>
      </w:r>
    </w:p>
    <w:bookmarkEnd w:id="0"/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为维护学术道德和学术规范的严肃性，加强学术诚信教育和学风建设，营造学术诚信氛围，规范本科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毕业论文（设计）管理，防范和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毕业论文（设计）学术不端行为发生，特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制定本办法。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学校坚持加强对毕业论文</w:t>
      </w:r>
      <w:bookmarkStart w:id="1" w:name="_Hlk53823675"/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bookmarkEnd w:id="1"/>
      <w:r>
        <w:rPr>
          <w:rFonts w:hint="eastAsia" w:ascii="仿宋_GB2312" w:hAnsi="仿宋" w:eastAsia="仿宋_GB2312"/>
          <w:sz w:val="32"/>
          <w:szCs w:val="32"/>
          <w:lang w:val="zh-CN"/>
        </w:rPr>
        <w:t>进行“文字复制比”检测（以下简称“毕业论文检测”），严防学术不端，严肃处理学术不端行为。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本办法中“文字复制比”检测对象为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全日制本科专业人才培养方案要求的主修和辅修本科专业、学士学位的毕业论文（设计）、学位论文。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学术不端行为按照兰州大学学位论文作假行为处理办法实施细则、本科生学籍管理办法等有关规定处理。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毕业论文（设计）检测标准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要求：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（一）毕业论文（设计）检测分为答辩前检测和答辩后检测。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检测内容主要为毕业论文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的主体部分，即删除毕业论文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的封面、诚信责任书、使用授权声明、参考文献、附录、致谢后的论文部分。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（三）提交检测的毕业论文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应为WORD或PDF格式文件，命名格式：学院名称_学号_作者姓名。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（四）学院须对检测的毕业论文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进行形式审查，为语句通顺、结构完整、格式规范的毕业论文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标准：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文字复制比例检测标准（以下简称“检测标准”）包括答辩前检测标准和答辩后检测标准。设定P和F两个数值作为检测的判断标准，按如下流程和规则处理。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答辩前第1次检测：</w:t>
      </w:r>
    </w:p>
    <w:tbl>
      <w:tblPr>
        <w:tblStyle w:val="7"/>
        <w:tblpPr w:leftFromText="45" w:rightFromText="45" w:vertAnchor="text" w:tblpXSpec="center"/>
        <w:tblW w:w="84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418"/>
        <w:gridCol w:w="3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P%&lt;N≤F%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暂缓通过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可申请第2次检测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答辩前第2次检测：</w:t>
      </w:r>
    </w:p>
    <w:tbl>
      <w:tblPr>
        <w:tblStyle w:val="8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答辩后检测：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注：N为毕业论文（设计）文字复制比例。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（二）学院（含研究院等教学单位，以下统称学院）根据自身专业特点制定检测标准P和F数值，检测标准须分别经学院教学指导分委员会和党政联席会讨论确定，学院制定的检测标准是毕业论文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检测是否通过的唯一依据。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检测结果依据为“去除本人已发表文献复制比”，即被检测毕业论文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去除本人以第一作者（或指导教师第一作者，本人第二作者）发表学术成果的文字重合字数后占毕业论文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检测内容的百分比。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（四）学院应及时将毕业论文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检测标准及相关规定告知学生和指导教师。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组织实施及职责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答辩前检测的范围为所有申请毕业论文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，答辩后检测的范围为所有答辩通过的学生得毕业论文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答辩前毕业论文（设计）检测：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（一）答辩前检测工作由学院负责，教务处为学院设立分账户，根据毕业论文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数分配检测篇数。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（二）学院应指定专人负责本单位毕业论文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检测工作。负责检测的工作人员应保证分账户的安全，严格执行学校相关规定，不得对本单位以外或其他不相关的论文进行检测。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检测：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检测工作由教务处统筹负责。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检测前，须经指导教师审核签字同意，并保证提交的毕业论文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电子版本与纸质版本一致。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（三）学生须在规定时间内向图书馆、档案馆及教务管理系统提交最终版本的毕业论文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电子版。无故逾期不提交毕业论文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者，其毕业论文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毕业论文（设计）检测结果及处理办法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答辩前毕业论文（设计）检测处理办法：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检测结果为“通过”的，学生可直接参加毕业论文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评阅及答辩。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检测结果为“不通过”或故意规避毕业论文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检测的，学生须对毕业论文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最多有2次检测机会。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答辩后毕业论文（设计）检测处理办法：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成绩有效。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检测或存在学术不端行为的，学校将认定当次毕业论文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成绩无效。情节特别严重的，学校将根据有关规定给予取消毕业资格直至开除学籍处分。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仅有1次检测机会。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教务处按年度以适当形式在校内公布毕业论文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（设计）“文字复制比”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检测结果。对答辩后毕业论文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检测结果为“不通过”的，按以下方式处理：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（一）质量约谈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当年度出现1%篇及以上毕业论文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检测结果为“不通过”的，学校约谈所在学院党政负责人及主管领导。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（二）质量告诫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当年度指导教师指导的2篇及以上毕业论文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检测结果为“不通过”的，学院须对指导教师告诫1次、对专业负责人约谈1次。取消被告诫教师当年度教学类奖项申报和评选资格。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（三）教学考核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学校将检测结果作为考核学院年度目标任务的内容之一。指导教师指导的毕业论文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出现1篇及以上检测结果为“不通过”的，指导教师当年度教学考核结果不能为“优秀”。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附  则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因提交的毕业论文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版本错误造成毕业论文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检测未“通过”的，责任由学生本人承担。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“文字复制比”检测工作人员必须遵守学校保密规定及其他相关规定，严格遵守回避原则。</w:t>
      </w:r>
    </w:p>
    <w:p>
      <w:pPr>
        <w:adjustRightInd w:val="0"/>
        <w:snapToGrid w:val="0"/>
        <w:spacing w:line="540" w:lineRule="exact"/>
        <w:ind w:firstLine="643" w:firstLineChars="200"/>
        <w:jc w:val="both"/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本细则由教务处负责解释，学院可根据本办法制定实施细则。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53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uiPriority w:val="99"/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1831</Words>
  <Characters>10442</Characters>
  <Lines>87</Lines>
  <Paragraphs>24</Paragraphs>
  <TotalTime>37</TotalTime>
  <ScaleCrop>false</ScaleCrop>
  <LinksUpToDate>false</LinksUpToDate>
  <CharactersWithSpaces>12249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聪聪</cp:lastModifiedBy>
  <dcterms:modified xsi:type="dcterms:W3CDTF">2020-11-30T08:35:26Z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